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A60" w:rsidRPr="004B190D" w:rsidRDefault="008F17FC" w:rsidP="00606017">
      <w:pPr>
        <w:jc w:val="both"/>
        <w:rPr>
          <w:rFonts w:ascii="Arial" w:hAnsi="Arial" w:cs="Arial"/>
          <w:szCs w:val="22"/>
        </w:rPr>
      </w:pPr>
      <w:r>
        <w:rPr>
          <w:rFonts w:ascii="Arial" w:hAnsi="Arial" w:cs="Arial"/>
          <w:szCs w:val="22"/>
        </w:rPr>
        <w:t>6</w:t>
      </w:r>
      <w:r w:rsidRPr="008F17FC">
        <w:rPr>
          <w:rFonts w:ascii="Arial" w:hAnsi="Arial" w:cs="Arial"/>
          <w:szCs w:val="22"/>
          <w:vertAlign w:val="superscript"/>
        </w:rPr>
        <w:t>th</w:t>
      </w:r>
      <w:r>
        <w:rPr>
          <w:rFonts w:ascii="Arial" w:hAnsi="Arial" w:cs="Arial"/>
          <w:szCs w:val="22"/>
        </w:rPr>
        <w:t xml:space="preserve"> July</w:t>
      </w:r>
      <w:r w:rsidR="004966F2" w:rsidRPr="004B190D">
        <w:rPr>
          <w:rFonts w:ascii="Arial" w:hAnsi="Arial" w:cs="Arial"/>
          <w:szCs w:val="22"/>
        </w:rPr>
        <w:t xml:space="preserve"> 2017</w:t>
      </w:r>
    </w:p>
    <w:p w:rsidR="00C114F8" w:rsidRDefault="00C114F8" w:rsidP="00C114F8">
      <w:pPr>
        <w:jc w:val="both"/>
        <w:rPr>
          <w:rFonts w:ascii="Arial" w:hAnsi="Arial" w:cs="Arial"/>
          <w:b/>
          <w:bCs/>
          <w:sz w:val="22"/>
          <w:szCs w:val="22"/>
          <w:lang w:val="en-GB"/>
        </w:rPr>
      </w:pPr>
      <w:r w:rsidRPr="00C114F8">
        <w:rPr>
          <w:rFonts w:ascii="Arial" w:hAnsi="Arial" w:cs="Arial"/>
          <w:b/>
          <w:bCs/>
          <w:sz w:val="22"/>
          <w:szCs w:val="22"/>
          <w:lang w:val="en-GB"/>
        </w:rPr>
        <w:t> </w:t>
      </w:r>
    </w:p>
    <w:p w:rsidR="008F17FC" w:rsidRPr="00C114F8" w:rsidRDefault="008F17FC" w:rsidP="00C114F8">
      <w:pPr>
        <w:jc w:val="both"/>
        <w:rPr>
          <w:rFonts w:ascii="Arial" w:hAnsi="Arial" w:cs="Arial"/>
          <w:sz w:val="22"/>
          <w:szCs w:val="22"/>
          <w:lang w:val="en-GB"/>
        </w:rPr>
      </w:pPr>
    </w:p>
    <w:p w:rsidR="00324B1A" w:rsidRDefault="004816DD" w:rsidP="002042F3">
      <w:pPr>
        <w:rPr>
          <w:rFonts w:ascii="Arial" w:hAnsi="Arial" w:cs="Arial"/>
          <w:b/>
        </w:rPr>
      </w:pPr>
      <w:r>
        <w:rPr>
          <w:rFonts w:ascii="Arial" w:hAnsi="Arial" w:cs="Arial"/>
          <w:b/>
        </w:rPr>
        <w:t>Media Release</w:t>
      </w:r>
    </w:p>
    <w:p w:rsidR="002042F3" w:rsidRPr="00324B1A" w:rsidRDefault="002042F3" w:rsidP="002042F3">
      <w:pPr>
        <w:rPr>
          <w:rFonts w:ascii="Arial" w:hAnsi="Arial" w:cs="Arial"/>
          <w:b/>
          <w:szCs w:val="22"/>
        </w:rPr>
      </w:pPr>
    </w:p>
    <w:p w:rsidR="00DB7E02" w:rsidRDefault="00DB7E02" w:rsidP="006B69B7">
      <w:pPr>
        <w:jc w:val="center"/>
        <w:rPr>
          <w:b/>
        </w:rPr>
      </w:pPr>
    </w:p>
    <w:p w:rsidR="008F17FC" w:rsidRPr="008F17FC" w:rsidRDefault="008F17FC" w:rsidP="008F17FC">
      <w:pPr>
        <w:jc w:val="both"/>
        <w:rPr>
          <w:rFonts w:ascii="Arial" w:hAnsi="Arial" w:cs="Arial"/>
          <w:b/>
        </w:rPr>
      </w:pPr>
      <w:r w:rsidRPr="008F17FC">
        <w:rPr>
          <w:rFonts w:ascii="Arial" w:hAnsi="Arial" w:cs="Arial"/>
          <w:b/>
        </w:rPr>
        <w:t xml:space="preserve">Malta Employers’ Association backs Air Malta – claims Industrial Action by the Association of Airline Operations Controllers (AAOC) is Illegal. </w:t>
      </w:r>
    </w:p>
    <w:p w:rsidR="008F17FC" w:rsidRDefault="008F17FC" w:rsidP="008F17FC">
      <w:pPr>
        <w:rPr>
          <w:rFonts w:ascii="Arial" w:hAnsi="Arial" w:cs="Arial"/>
          <w:b/>
        </w:rPr>
      </w:pPr>
    </w:p>
    <w:p w:rsidR="008F17FC" w:rsidRPr="008F17FC" w:rsidRDefault="008F17FC" w:rsidP="008F17FC">
      <w:pPr>
        <w:rPr>
          <w:rFonts w:ascii="Arial" w:hAnsi="Arial" w:cs="Arial"/>
          <w:b/>
        </w:rPr>
      </w:pPr>
    </w:p>
    <w:p w:rsidR="008F17FC" w:rsidRPr="008F17FC" w:rsidRDefault="008F17FC" w:rsidP="008F17FC">
      <w:pPr>
        <w:jc w:val="both"/>
        <w:rPr>
          <w:rFonts w:ascii="Arial" w:hAnsi="Arial" w:cs="Arial"/>
        </w:rPr>
      </w:pPr>
      <w:r w:rsidRPr="008F17FC">
        <w:rPr>
          <w:rFonts w:ascii="Arial" w:hAnsi="Arial" w:cs="Arial"/>
        </w:rPr>
        <w:t>The Malta Employers’ Association has condemned the industrial action ordered by the Association of Airline Operations Controllers, and stated that the action goes against the provisions of Legal Notice  413 of 2016 on recognition of Trade Unions. The legal notice states that:</w:t>
      </w:r>
    </w:p>
    <w:p w:rsidR="008F17FC" w:rsidRDefault="008F17FC" w:rsidP="008F17FC">
      <w:pPr>
        <w:jc w:val="both"/>
        <w:rPr>
          <w:rFonts w:ascii="Arial" w:hAnsi="Arial" w:cs="Arial"/>
          <w:i/>
        </w:rPr>
      </w:pPr>
    </w:p>
    <w:p w:rsidR="008F17FC" w:rsidRPr="008F17FC" w:rsidRDefault="008F17FC" w:rsidP="008F17FC">
      <w:pPr>
        <w:jc w:val="both"/>
        <w:rPr>
          <w:rFonts w:ascii="Arial" w:hAnsi="Arial" w:cs="Arial"/>
          <w:i/>
        </w:rPr>
      </w:pPr>
      <w:r w:rsidRPr="008F17FC">
        <w:rPr>
          <w:rFonts w:ascii="Arial" w:hAnsi="Arial" w:cs="Arial"/>
          <w:i/>
        </w:rPr>
        <w:t>‘Once a union is recognized as the sole collective bargaining union, no other union may intervene on a collective matter relating to the employees concerned with the employer, and conversely, no employer shall discuss collective matters relating to the employees’ concerned with a union other than the recognized union’.</w:t>
      </w:r>
    </w:p>
    <w:p w:rsidR="008F17FC" w:rsidRDefault="008F17FC" w:rsidP="008F17FC">
      <w:pPr>
        <w:jc w:val="both"/>
        <w:rPr>
          <w:rFonts w:ascii="Arial" w:hAnsi="Arial" w:cs="Arial"/>
        </w:rPr>
      </w:pPr>
    </w:p>
    <w:p w:rsidR="008F17FC" w:rsidRPr="008F17FC" w:rsidRDefault="008F17FC" w:rsidP="008F17FC">
      <w:pPr>
        <w:jc w:val="both"/>
        <w:rPr>
          <w:rFonts w:ascii="Arial" w:hAnsi="Arial" w:cs="Arial"/>
        </w:rPr>
      </w:pPr>
      <w:r w:rsidRPr="008F17FC">
        <w:rPr>
          <w:rFonts w:ascii="Arial" w:hAnsi="Arial" w:cs="Arial"/>
        </w:rPr>
        <w:t xml:space="preserve">MEA is strongly of the opinion that the management of Air Malta should not be coerced to take back a legitimate recognition grated to GWU and give it instead to the AAOC. The Association added that it disagreed with the Director of Employment and Industrial Relations’ decision to give recognition to the AAOC, and that this case can set a dangerous precedent for other companies as it is inconceivable that union representation within a company can become fragmented in a manner that can make a place of work unmanageable. </w:t>
      </w:r>
      <w:proofErr w:type="gramStart"/>
      <w:r w:rsidRPr="008F17FC">
        <w:rPr>
          <w:rFonts w:ascii="Arial" w:hAnsi="Arial" w:cs="Arial"/>
        </w:rPr>
        <w:t>This decision risks putting Air Malta in a gratuitous simultaneous confrontation with two unions.</w:t>
      </w:r>
      <w:proofErr w:type="gramEnd"/>
      <w:r w:rsidRPr="008F17FC">
        <w:rPr>
          <w:rFonts w:ascii="Arial" w:hAnsi="Arial" w:cs="Arial"/>
        </w:rPr>
        <w:t xml:space="preserve"> The fact that the AAOC has the majority of employees in a department does not give it an automatic right to negotiate a collective agreement on their behalf. Union recognition should be based on a totality of company employees unless agreed between management and unions to consider categories. The legislation makes no mention that an employer is obliged to </w:t>
      </w:r>
      <w:proofErr w:type="spellStart"/>
      <w:r w:rsidRPr="008F17FC">
        <w:rPr>
          <w:rFonts w:ascii="Arial" w:hAnsi="Arial" w:cs="Arial"/>
        </w:rPr>
        <w:t>recognise</w:t>
      </w:r>
      <w:proofErr w:type="spellEnd"/>
      <w:r w:rsidRPr="008F17FC">
        <w:rPr>
          <w:rFonts w:ascii="Arial" w:hAnsi="Arial" w:cs="Arial"/>
        </w:rPr>
        <w:t xml:space="preserve"> collective bargaining units within a company.</w:t>
      </w:r>
    </w:p>
    <w:p w:rsidR="005B7E37" w:rsidRPr="008F17FC" w:rsidRDefault="005B7E37" w:rsidP="00734349">
      <w:pPr>
        <w:jc w:val="both"/>
        <w:rPr>
          <w:rFonts w:ascii="Arial" w:hAnsi="Arial" w:cs="Arial"/>
          <w:sz w:val="18"/>
        </w:rPr>
      </w:pPr>
    </w:p>
    <w:sectPr w:rsidR="005B7E37" w:rsidRPr="008F17FC" w:rsidSect="004816DD">
      <w:headerReference w:type="default" r:id="rId7"/>
      <w:footerReference w:type="default" r:id="rId8"/>
      <w:pgSz w:w="11906" w:h="16838"/>
      <w:pgMar w:top="1843" w:right="3684"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043" w:rsidRDefault="00895043" w:rsidP="00861072">
      <w:r>
        <w:separator/>
      </w:r>
    </w:p>
  </w:endnote>
  <w:endnote w:type="continuationSeparator" w:id="0">
    <w:p w:rsidR="00895043" w:rsidRDefault="00895043" w:rsidP="008610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venir-Roman">
    <w:altName w:val="Avenir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072" w:rsidRPr="00B616BA" w:rsidRDefault="002146A0" w:rsidP="00B616BA">
    <w:pPr>
      <w:autoSpaceDE w:val="0"/>
      <w:autoSpaceDN w:val="0"/>
      <w:adjustRightInd w:val="0"/>
      <w:rPr>
        <w:rFonts w:ascii="Avenir-Roman" w:hAnsi="Avenir-Roman" w:cs="Avenir-Roman"/>
        <w:color w:val="58595B"/>
        <w:sz w:val="14"/>
        <w:szCs w:val="14"/>
      </w:rPr>
    </w:pPr>
    <w:r w:rsidRPr="002146A0">
      <w:rPr>
        <w:noProof/>
        <w:lang w:eastAsia="zh-TW"/>
      </w:rPr>
      <w:pict>
        <v:shapetype id="_x0000_t202" coordsize="21600,21600" o:spt="202" path="m,l,21600r21600,l21600,xe">
          <v:stroke joinstyle="miter"/>
          <v:path gradientshapeok="t" o:connecttype="rect"/>
        </v:shapetype>
        <v:shape id="_x0000_s2049" type="#_x0000_t202" style="position:absolute;margin-left:322.95pt;margin-top:-47.3pt;width:162.6pt;height:81.55pt;z-index:251658240;mso-height-percent:200;mso-height-percent:200;mso-width-relative:margin;mso-height-relative:margin" stroked="f">
          <v:textbox style="mso-next-textbox:#_x0000_s2049;mso-fit-shape-to-text:t">
            <w:txbxContent>
              <w:p w:rsidR="00B616BA" w:rsidRDefault="004E392D">
                <w:r>
                  <w:rPr>
                    <w:noProof/>
                    <w:lang w:val="en-GB" w:eastAsia="en-GB"/>
                  </w:rPr>
                  <w:drawing>
                    <wp:inline distT="0" distB="0" distL="0" distR="0">
                      <wp:extent cx="1866900" cy="942975"/>
                      <wp:effectExtent l="19050" t="0" r="0" b="0"/>
                      <wp:docPr id="1" name="Picture 4" descr="letterhead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head footer.jpg"/>
                              <pic:cNvPicPr>
                                <a:picLocks noChangeAspect="1" noChangeArrowheads="1"/>
                              </pic:cNvPicPr>
                            </pic:nvPicPr>
                            <pic:blipFill>
                              <a:blip r:embed="rId1"/>
                              <a:srcRect/>
                              <a:stretch>
                                <a:fillRect/>
                              </a:stretch>
                            </pic:blipFill>
                            <pic:spPr bwMode="auto">
                              <a:xfrm>
                                <a:off x="0" y="0"/>
                                <a:ext cx="1866900" cy="942975"/>
                              </a:xfrm>
                              <a:prstGeom prst="rect">
                                <a:avLst/>
                              </a:prstGeom>
                              <a:noFill/>
                              <a:ln w="9525">
                                <a:noFill/>
                                <a:miter lim="800000"/>
                                <a:headEnd/>
                                <a:tailEnd/>
                              </a:ln>
                            </pic:spPr>
                          </pic:pic>
                        </a:graphicData>
                      </a:graphic>
                    </wp:inline>
                  </w:drawing>
                </w:r>
              </w:p>
            </w:txbxContent>
          </v:textbox>
        </v:shape>
      </w:pict>
    </w:r>
    <w:r w:rsidR="00324B1A" w:rsidRPr="00FF5A28">
      <w:rPr>
        <w:rFonts w:ascii="Arial" w:hAnsi="Arial" w:cs="Arial"/>
        <w:b/>
        <w:color w:val="595959" w:themeColor="text1" w:themeTint="A6"/>
        <w:sz w:val="14"/>
        <w:szCs w:val="14"/>
      </w:rPr>
      <w:t xml:space="preserve">Affiliated to the International </w:t>
    </w:r>
    <w:proofErr w:type="spellStart"/>
    <w:r w:rsidR="00324B1A" w:rsidRPr="00FF5A28">
      <w:rPr>
        <w:rFonts w:ascii="Arial" w:hAnsi="Arial" w:cs="Arial"/>
        <w:b/>
        <w:color w:val="595959" w:themeColor="text1" w:themeTint="A6"/>
        <w:sz w:val="14"/>
        <w:szCs w:val="14"/>
      </w:rPr>
      <w:t>Organisation</w:t>
    </w:r>
    <w:proofErr w:type="spellEnd"/>
    <w:r w:rsidR="00324B1A" w:rsidRPr="00FF5A28">
      <w:rPr>
        <w:rFonts w:ascii="Arial" w:hAnsi="Arial" w:cs="Arial"/>
        <w:b/>
        <w:color w:val="595959" w:themeColor="text1" w:themeTint="A6"/>
        <w:sz w:val="14"/>
        <w:szCs w:val="14"/>
      </w:rPr>
      <w:t xml:space="preserve"> of Employers (I.O.E.), </w:t>
    </w:r>
    <w:r w:rsidR="00324B1A" w:rsidRPr="00FF5A28">
      <w:rPr>
        <w:rFonts w:ascii="Arial" w:hAnsi="Arial" w:cs="Arial"/>
        <w:b/>
        <w:color w:val="595959" w:themeColor="text1" w:themeTint="A6"/>
        <w:spacing w:val="10"/>
        <w:sz w:val="14"/>
        <w:szCs w:val="14"/>
      </w:rPr>
      <w:t>Business European Capital Cities (BECC),</w:t>
    </w:r>
    <w:r w:rsidR="00324B1A" w:rsidRPr="00FF5A28">
      <w:rPr>
        <w:rFonts w:ascii="Arial" w:hAnsi="Arial" w:cs="Arial"/>
        <w:b/>
        <w:color w:val="595959" w:themeColor="text1" w:themeTint="A6"/>
        <w:sz w:val="14"/>
        <w:szCs w:val="14"/>
      </w:rPr>
      <w:t xml:space="preserve"> European Centre of Enterprises with Public Participation and of Enterprises of General Economic Interest (C.E.E.P.) and BUSINESSMED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043" w:rsidRDefault="00895043" w:rsidP="00861072">
      <w:r>
        <w:separator/>
      </w:r>
    </w:p>
  </w:footnote>
  <w:footnote w:type="continuationSeparator" w:id="0">
    <w:p w:rsidR="00895043" w:rsidRDefault="00895043" w:rsidP="008610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072" w:rsidRDefault="004E392D" w:rsidP="00861072">
    <w:pPr>
      <w:pStyle w:val="Header"/>
      <w:jc w:val="right"/>
    </w:pPr>
    <w:r>
      <w:rPr>
        <w:noProof/>
        <w:lang w:eastAsia="en-GB"/>
      </w:rPr>
      <w:drawing>
        <wp:anchor distT="0" distB="0" distL="114300" distR="114300" simplePos="0" relativeHeight="251657216" behindDoc="0" locked="0" layoutInCell="1" allowOverlap="1">
          <wp:simplePos x="0" y="0"/>
          <wp:positionH relativeFrom="column">
            <wp:posOffset>4171950</wp:posOffset>
          </wp:positionH>
          <wp:positionV relativeFrom="paragraph">
            <wp:posOffset>-128645</wp:posOffset>
          </wp:positionV>
          <wp:extent cx="1877060" cy="633209"/>
          <wp:effectExtent l="19050" t="0" r="889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877060" cy="633209"/>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91DB7"/>
    <w:multiLevelType w:val="hybridMultilevel"/>
    <w:tmpl w:val="65B42C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FE245EA"/>
    <w:multiLevelType w:val="hybridMultilevel"/>
    <w:tmpl w:val="20A0E19E"/>
    <w:lvl w:ilvl="0" w:tplc="C1882B6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rsids>
    <w:rsidRoot w:val="00861072"/>
    <w:rsid w:val="0000296E"/>
    <w:rsid w:val="00015298"/>
    <w:rsid w:val="00021280"/>
    <w:rsid w:val="000330F3"/>
    <w:rsid w:val="00040745"/>
    <w:rsid w:val="00094424"/>
    <w:rsid w:val="000C5E80"/>
    <w:rsid w:val="000E28B2"/>
    <w:rsid w:val="000F5A7B"/>
    <w:rsid w:val="001F6A97"/>
    <w:rsid w:val="002042F3"/>
    <w:rsid w:val="002146A0"/>
    <w:rsid w:val="0022705B"/>
    <w:rsid w:val="00242AE2"/>
    <w:rsid w:val="002A4207"/>
    <w:rsid w:val="002C5EA9"/>
    <w:rsid w:val="002F1538"/>
    <w:rsid w:val="002F745E"/>
    <w:rsid w:val="003114BD"/>
    <w:rsid w:val="00324B1A"/>
    <w:rsid w:val="00342975"/>
    <w:rsid w:val="00371F16"/>
    <w:rsid w:val="00390B43"/>
    <w:rsid w:val="003A51F8"/>
    <w:rsid w:val="003D12B7"/>
    <w:rsid w:val="003F1513"/>
    <w:rsid w:val="00460B19"/>
    <w:rsid w:val="004816DD"/>
    <w:rsid w:val="00490FB7"/>
    <w:rsid w:val="00493336"/>
    <w:rsid w:val="004966F2"/>
    <w:rsid w:val="004A5C09"/>
    <w:rsid w:val="004B190D"/>
    <w:rsid w:val="004E3616"/>
    <w:rsid w:val="004E392D"/>
    <w:rsid w:val="00511B66"/>
    <w:rsid w:val="005706B6"/>
    <w:rsid w:val="00584E1D"/>
    <w:rsid w:val="005A4AB3"/>
    <w:rsid w:val="005B7E37"/>
    <w:rsid w:val="00606017"/>
    <w:rsid w:val="00606747"/>
    <w:rsid w:val="0068076C"/>
    <w:rsid w:val="00696A95"/>
    <w:rsid w:val="006B06CB"/>
    <w:rsid w:val="006B69B7"/>
    <w:rsid w:val="006E69AA"/>
    <w:rsid w:val="0072573D"/>
    <w:rsid w:val="00734349"/>
    <w:rsid w:val="007344CF"/>
    <w:rsid w:val="00750836"/>
    <w:rsid w:val="00785F17"/>
    <w:rsid w:val="0078778B"/>
    <w:rsid w:val="007B4199"/>
    <w:rsid w:val="007C219D"/>
    <w:rsid w:val="00834532"/>
    <w:rsid w:val="00837C78"/>
    <w:rsid w:val="0084191A"/>
    <w:rsid w:val="00861072"/>
    <w:rsid w:val="0087058D"/>
    <w:rsid w:val="00873650"/>
    <w:rsid w:val="00895043"/>
    <w:rsid w:val="008C6AC4"/>
    <w:rsid w:val="008C732D"/>
    <w:rsid w:val="008F17FC"/>
    <w:rsid w:val="00904C11"/>
    <w:rsid w:val="00911D72"/>
    <w:rsid w:val="00925001"/>
    <w:rsid w:val="00925EF5"/>
    <w:rsid w:val="00935EAF"/>
    <w:rsid w:val="00960883"/>
    <w:rsid w:val="00985E32"/>
    <w:rsid w:val="009942AB"/>
    <w:rsid w:val="00A06BE2"/>
    <w:rsid w:val="00A15833"/>
    <w:rsid w:val="00A164BF"/>
    <w:rsid w:val="00A204FA"/>
    <w:rsid w:val="00A62A60"/>
    <w:rsid w:val="00AB0F9F"/>
    <w:rsid w:val="00AD5760"/>
    <w:rsid w:val="00AF4C82"/>
    <w:rsid w:val="00AF68D1"/>
    <w:rsid w:val="00B07196"/>
    <w:rsid w:val="00B2141D"/>
    <w:rsid w:val="00B506DD"/>
    <w:rsid w:val="00B616BA"/>
    <w:rsid w:val="00B633AB"/>
    <w:rsid w:val="00BB24F1"/>
    <w:rsid w:val="00BC0E6B"/>
    <w:rsid w:val="00BE5405"/>
    <w:rsid w:val="00C114F8"/>
    <w:rsid w:val="00C2285D"/>
    <w:rsid w:val="00C3265D"/>
    <w:rsid w:val="00C3770F"/>
    <w:rsid w:val="00C95ACD"/>
    <w:rsid w:val="00D53743"/>
    <w:rsid w:val="00D537D5"/>
    <w:rsid w:val="00D570E1"/>
    <w:rsid w:val="00D933C1"/>
    <w:rsid w:val="00DB7E02"/>
    <w:rsid w:val="00E453F5"/>
    <w:rsid w:val="00E87446"/>
    <w:rsid w:val="00EA1B48"/>
    <w:rsid w:val="00F10461"/>
    <w:rsid w:val="00F11886"/>
    <w:rsid w:val="00F3326A"/>
    <w:rsid w:val="00F37C0E"/>
    <w:rsid w:val="00F54CEE"/>
    <w:rsid w:val="00F6216D"/>
    <w:rsid w:val="00F665CA"/>
    <w:rsid w:val="00F71D80"/>
    <w:rsid w:val="00F731D8"/>
    <w:rsid w:val="00F763EB"/>
    <w:rsid w:val="00F934E3"/>
    <w:rsid w:val="00FC2225"/>
    <w:rsid w:val="00FC7C0C"/>
    <w:rsid w:val="00FF6C7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A60"/>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072"/>
    <w:pPr>
      <w:tabs>
        <w:tab w:val="center" w:pos="4513"/>
        <w:tab w:val="right" w:pos="9026"/>
      </w:tabs>
    </w:pPr>
    <w:rPr>
      <w:rFonts w:ascii="Calibri" w:eastAsia="Calibri" w:hAnsi="Calibri"/>
      <w:sz w:val="22"/>
      <w:szCs w:val="22"/>
      <w:lang w:val="en-GB"/>
    </w:rPr>
  </w:style>
  <w:style w:type="character" w:customStyle="1" w:styleId="HeaderChar">
    <w:name w:val="Header Char"/>
    <w:basedOn w:val="DefaultParagraphFont"/>
    <w:link w:val="Header"/>
    <w:uiPriority w:val="99"/>
    <w:rsid w:val="00861072"/>
  </w:style>
  <w:style w:type="paragraph" w:styleId="Footer">
    <w:name w:val="footer"/>
    <w:basedOn w:val="Normal"/>
    <w:link w:val="FooterChar"/>
    <w:uiPriority w:val="99"/>
    <w:unhideWhenUsed/>
    <w:rsid w:val="00861072"/>
    <w:pPr>
      <w:tabs>
        <w:tab w:val="center" w:pos="4513"/>
        <w:tab w:val="right" w:pos="9026"/>
      </w:tabs>
    </w:pPr>
    <w:rPr>
      <w:rFonts w:ascii="Calibri" w:eastAsia="Calibri" w:hAnsi="Calibri"/>
      <w:sz w:val="22"/>
      <w:szCs w:val="22"/>
      <w:lang w:val="en-GB"/>
    </w:rPr>
  </w:style>
  <w:style w:type="character" w:customStyle="1" w:styleId="FooterChar">
    <w:name w:val="Footer Char"/>
    <w:basedOn w:val="DefaultParagraphFont"/>
    <w:link w:val="Footer"/>
    <w:uiPriority w:val="99"/>
    <w:rsid w:val="00861072"/>
  </w:style>
  <w:style w:type="paragraph" w:styleId="BalloonText">
    <w:name w:val="Balloon Text"/>
    <w:basedOn w:val="Normal"/>
    <w:link w:val="BalloonTextChar"/>
    <w:uiPriority w:val="99"/>
    <w:semiHidden/>
    <w:unhideWhenUsed/>
    <w:rsid w:val="00861072"/>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861072"/>
    <w:rPr>
      <w:rFonts w:ascii="Tahoma" w:hAnsi="Tahoma" w:cs="Tahoma"/>
      <w:sz w:val="16"/>
      <w:szCs w:val="16"/>
    </w:rPr>
  </w:style>
  <w:style w:type="paragraph" w:styleId="NormalWeb">
    <w:name w:val="Normal (Web)"/>
    <w:basedOn w:val="Normal"/>
    <w:uiPriority w:val="99"/>
    <w:semiHidden/>
    <w:unhideWhenUsed/>
    <w:rsid w:val="00861072"/>
    <w:pPr>
      <w:spacing w:after="210" w:line="210" w:lineRule="atLeast"/>
      <w:jc w:val="both"/>
    </w:pPr>
    <w:rPr>
      <w:sz w:val="17"/>
      <w:szCs w:val="17"/>
      <w:lang w:val="en-GB" w:eastAsia="en-GB"/>
    </w:rPr>
  </w:style>
  <w:style w:type="character" w:styleId="Hyperlink">
    <w:name w:val="Hyperlink"/>
    <w:basedOn w:val="DefaultParagraphFont"/>
    <w:rsid w:val="00A62A60"/>
    <w:rPr>
      <w:color w:val="0000FF"/>
      <w:u w:val="single"/>
    </w:rPr>
  </w:style>
  <w:style w:type="paragraph" w:styleId="Caption">
    <w:name w:val="caption"/>
    <w:basedOn w:val="Normal"/>
    <w:next w:val="Normal"/>
    <w:unhideWhenUsed/>
    <w:qFormat/>
    <w:rsid w:val="00094424"/>
    <w:pPr>
      <w:spacing w:after="200"/>
    </w:pPr>
    <w:rPr>
      <w:b/>
      <w:bCs/>
      <w:color w:val="4F81BD"/>
      <w:sz w:val="18"/>
      <w:szCs w:val="18"/>
    </w:rPr>
  </w:style>
  <w:style w:type="paragraph" w:styleId="ListParagraph">
    <w:name w:val="List Paragraph"/>
    <w:basedOn w:val="Normal"/>
    <w:uiPriority w:val="34"/>
    <w:qFormat/>
    <w:rsid w:val="00371F16"/>
    <w:pPr>
      <w:ind w:left="720"/>
      <w:contextualSpacing/>
    </w:pPr>
  </w:style>
  <w:style w:type="character" w:styleId="FollowedHyperlink">
    <w:name w:val="FollowedHyperlink"/>
    <w:basedOn w:val="DefaultParagraphFont"/>
    <w:uiPriority w:val="99"/>
    <w:semiHidden/>
    <w:unhideWhenUsed/>
    <w:rsid w:val="00371F1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78096730">
      <w:bodyDiv w:val="1"/>
      <w:marLeft w:val="0"/>
      <w:marRight w:val="0"/>
      <w:marTop w:val="0"/>
      <w:marBottom w:val="0"/>
      <w:divBdr>
        <w:top w:val="none" w:sz="0" w:space="0" w:color="auto"/>
        <w:left w:val="none" w:sz="0" w:space="0" w:color="auto"/>
        <w:bottom w:val="none" w:sz="0" w:space="0" w:color="auto"/>
        <w:right w:val="none" w:sz="0" w:space="0" w:color="auto"/>
      </w:divBdr>
    </w:div>
    <w:div w:id="677804452">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sChild>
            <w:div w:id="12960588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845634893">
      <w:bodyDiv w:val="1"/>
      <w:marLeft w:val="0"/>
      <w:marRight w:val="0"/>
      <w:marTop w:val="0"/>
      <w:marBottom w:val="0"/>
      <w:divBdr>
        <w:top w:val="none" w:sz="0" w:space="0" w:color="auto"/>
        <w:left w:val="none" w:sz="0" w:space="0" w:color="auto"/>
        <w:bottom w:val="none" w:sz="0" w:space="0" w:color="auto"/>
        <w:right w:val="none" w:sz="0" w:space="0" w:color="auto"/>
      </w:divBdr>
      <w:divsChild>
        <w:div w:id="1947155491">
          <w:marLeft w:val="0"/>
          <w:marRight w:val="0"/>
          <w:marTop w:val="0"/>
          <w:marBottom w:val="0"/>
          <w:divBdr>
            <w:top w:val="none" w:sz="0" w:space="0" w:color="auto"/>
            <w:left w:val="none" w:sz="0" w:space="0" w:color="auto"/>
            <w:bottom w:val="none" w:sz="0" w:space="0" w:color="auto"/>
            <w:right w:val="none" w:sz="0" w:space="0" w:color="auto"/>
          </w:divBdr>
          <w:divsChild>
            <w:div w:id="1312174377">
              <w:marLeft w:val="0"/>
              <w:marRight w:val="0"/>
              <w:marTop w:val="0"/>
              <w:marBottom w:val="0"/>
              <w:divBdr>
                <w:top w:val="none" w:sz="0" w:space="0" w:color="auto"/>
                <w:left w:val="none" w:sz="0" w:space="0" w:color="auto"/>
                <w:bottom w:val="none" w:sz="0" w:space="0" w:color="auto"/>
                <w:right w:val="none" w:sz="0" w:space="0" w:color="auto"/>
              </w:divBdr>
              <w:divsChild>
                <w:div w:id="2146199534">
                  <w:marLeft w:val="0"/>
                  <w:marRight w:val="0"/>
                  <w:marTop w:val="0"/>
                  <w:marBottom w:val="0"/>
                  <w:divBdr>
                    <w:top w:val="none" w:sz="0" w:space="0" w:color="auto"/>
                    <w:left w:val="none" w:sz="0" w:space="0" w:color="auto"/>
                    <w:bottom w:val="none" w:sz="0" w:space="0" w:color="auto"/>
                    <w:right w:val="none" w:sz="0" w:space="0" w:color="auto"/>
                  </w:divBdr>
                </w:div>
                <w:div w:id="1263563313">
                  <w:marLeft w:val="0"/>
                  <w:marRight w:val="0"/>
                  <w:marTop w:val="0"/>
                  <w:marBottom w:val="0"/>
                  <w:divBdr>
                    <w:top w:val="none" w:sz="0" w:space="0" w:color="auto"/>
                    <w:left w:val="none" w:sz="0" w:space="0" w:color="auto"/>
                    <w:bottom w:val="none" w:sz="0" w:space="0" w:color="auto"/>
                    <w:right w:val="none" w:sz="0" w:space="0" w:color="auto"/>
                  </w:divBdr>
                </w:div>
                <w:div w:id="1777016759">
                  <w:marLeft w:val="0"/>
                  <w:marRight w:val="0"/>
                  <w:marTop w:val="0"/>
                  <w:marBottom w:val="0"/>
                  <w:divBdr>
                    <w:top w:val="none" w:sz="0" w:space="0" w:color="auto"/>
                    <w:left w:val="none" w:sz="0" w:space="0" w:color="auto"/>
                    <w:bottom w:val="none" w:sz="0" w:space="0" w:color="auto"/>
                    <w:right w:val="none" w:sz="0" w:space="0" w:color="auto"/>
                  </w:divBdr>
                </w:div>
              </w:divsChild>
            </w:div>
            <w:div w:id="746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5984">
      <w:bodyDiv w:val="1"/>
      <w:marLeft w:val="0"/>
      <w:marRight w:val="0"/>
      <w:marTop w:val="0"/>
      <w:marBottom w:val="0"/>
      <w:divBdr>
        <w:top w:val="none" w:sz="0" w:space="0" w:color="auto"/>
        <w:left w:val="none" w:sz="0" w:space="0" w:color="auto"/>
        <w:bottom w:val="none" w:sz="0" w:space="0" w:color="auto"/>
        <w:right w:val="none" w:sz="0" w:space="0" w:color="auto"/>
      </w:divBdr>
      <w:divsChild>
        <w:div w:id="624235503">
          <w:marLeft w:val="0"/>
          <w:marRight w:val="0"/>
          <w:marTop w:val="0"/>
          <w:marBottom w:val="0"/>
          <w:divBdr>
            <w:top w:val="none" w:sz="0" w:space="0" w:color="auto"/>
            <w:left w:val="none" w:sz="0" w:space="0" w:color="auto"/>
            <w:bottom w:val="none" w:sz="0" w:space="0" w:color="auto"/>
            <w:right w:val="none" w:sz="0" w:space="0" w:color="auto"/>
          </w:divBdr>
          <w:divsChild>
            <w:div w:id="1673334569">
              <w:marLeft w:val="0"/>
              <w:marRight w:val="0"/>
              <w:marTop w:val="0"/>
              <w:marBottom w:val="0"/>
              <w:divBdr>
                <w:top w:val="none" w:sz="0" w:space="0" w:color="auto"/>
                <w:left w:val="none" w:sz="0" w:space="0" w:color="auto"/>
                <w:bottom w:val="none" w:sz="0" w:space="0" w:color="auto"/>
                <w:right w:val="none" w:sz="0" w:space="0" w:color="auto"/>
              </w:divBdr>
              <w:divsChild>
                <w:div w:id="88895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User</cp:lastModifiedBy>
  <cp:revision>3</cp:revision>
  <cp:lastPrinted>2017-07-06T12:48:00Z</cp:lastPrinted>
  <dcterms:created xsi:type="dcterms:W3CDTF">2017-07-06T12:47:00Z</dcterms:created>
  <dcterms:modified xsi:type="dcterms:W3CDTF">2017-07-06T12:50:00Z</dcterms:modified>
</cp:coreProperties>
</file>